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A" w:rsidRDefault="00AE1746">
      <w:pPr>
        <w:spacing w:after="0"/>
        <w:ind w:left="0" w:right="1033" w:firstLine="0"/>
        <w:jc w:val="right"/>
      </w:pPr>
      <w:r>
        <w:rPr>
          <w:rFonts w:ascii="&amp;quot" w:hAnsi="&amp;quot"/>
          <w:noProof/>
          <w:color w:val="2275AC"/>
          <w:sz w:val="20"/>
          <w:szCs w:val="20"/>
          <w:bdr w:val="none" w:sz="0" w:space="0" w:color="auto" w:frame="1"/>
        </w:rPr>
        <w:drawing>
          <wp:inline distT="0" distB="0" distL="0" distR="0">
            <wp:extent cx="3667125" cy="1283380"/>
            <wp:effectExtent l="0" t="0" r="0" b="0"/>
            <wp:docPr id="1" name="Immagine 1" descr="https://www.valutatoridellecompetenze.it/wp-content/uploads/2016/04/logo-evaluate-sfondo-trasp-800-px.png">
              <a:hlinkClick xmlns:a="http://schemas.openxmlformats.org/drawingml/2006/main" r:id="rId5" tooltip="&quot;EVALUA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utatoridellecompetenze.it/wp-content/uploads/2016/04/logo-evaluate-sfondo-trasp-800-px.png">
                      <a:hlinkClick r:id="rId5" tooltip="&quot;EVALUA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42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1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CellMar>
          <w:top w:w="61" w:type="dxa"/>
          <w:left w:w="103" w:type="dxa"/>
          <w:right w:w="53" w:type="dxa"/>
        </w:tblCellMar>
        <w:tblLook w:val="04A0"/>
      </w:tblPr>
      <w:tblGrid>
        <w:gridCol w:w="9"/>
        <w:gridCol w:w="2251"/>
        <w:gridCol w:w="8613"/>
        <w:gridCol w:w="9"/>
      </w:tblGrid>
      <w:tr w:rsidR="007D60AA" w:rsidTr="00AE1746">
        <w:trPr>
          <w:gridBefore w:val="1"/>
          <w:wBefore w:w="9" w:type="dxa"/>
          <w:trHeight w:val="842"/>
        </w:trPr>
        <w:tc>
          <w:tcPr>
            <w:tcW w:w="2251" w:type="dxa"/>
            <w:vAlign w:val="center"/>
          </w:tcPr>
          <w:p w:rsidR="007D60AA" w:rsidRDefault="000F242F" w:rsidP="00BE7107">
            <w:pPr>
              <w:spacing w:after="0"/>
              <w:ind w:left="0" w:right="0" w:firstLine="0"/>
              <w:jc w:val="left"/>
            </w:pPr>
            <w:r w:rsidRPr="00AE1746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Titolo del </w:t>
            </w:r>
            <w:r w:rsidR="005A7E6B">
              <w:rPr>
                <w:rFonts w:ascii="Calibri" w:eastAsia="Calibri" w:hAnsi="Calibri" w:cs="Calibri"/>
                <w:b/>
                <w:color w:val="C00000"/>
                <w:sz w:val="22"/>
              </w:rPr>
              <w:t>seminario</w:t>
            </w:r>
            <w:r w:rsidR="0050021D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 UF </w:t>
            </w:r>
            <w:r w:rsidR="00BE7107">
              <w:rPr>
                <w:rFonts w:ascii="Calibri" w:eastAsia="Calibri" w:hAnsi="Calibri" w:cs="Calibri"/>
                <w:b/>
                <w:color w:val="C00000"/>
                <w:sz w:val="22"/>
              </w:rPr>
              <w:t>5.2</w:t>
            </w:r>
          </w:p>
        </w:tc>
        <w:tc>
          <w:tcPr>
            <w:tcW w:w="8622" w:type="dxa"/>
            <w:gridSpan w:val="2"/>
            <w:vAlign w:val="center"/>
          </w:tcPr>
          <w:p w:rsidR="007D60AA" w:rsidRDefault="00290AD4">
            <w:pPr>
              <w:spacing w:after="0"/>
              <w:ind w:left="5" w:right="0" w:firstLine="0"/>
              <w:jc w:val="left"/>
            </w:pPr>
            <w:r w:rsidRPr="00290AD4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LE AZIONI </w:t>
            </w:r>
            <w:proofErr w:type="spellStart"/>
            <w:r w:rsidRPr="00290AD4">
              <w:rPr>
                <w:rFonts w:asciiTheme="minorHAnsi" w:hAnsiTheme="minorHAnsi" w:cs="Calibri"/>
                <w:b/>
                <w:color w:val="2F5496"/>
                <w:sz w:val="28"/>
              </w:rPr>
              <w:t>DI</w:t>
            </w:r>
            <w:proofErr w:type="spellEnd"/>
            <w:r w:rsidRPr="00290AD4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 MARKETING DEL PROFESSIONISTA DELLA VALUTAZIONE DELLE COMPETENZE: potenziare il business del professionista grazie alla reputazione sui social network; fra necessità di "stare al passo” e “stress” del cambiamento. Strumenti e riflessioni.</w:t>
            </w:r>
          </w:p>
        </w:tc>
      </w:tr>
      <w:tr w:rsidR="007D60AA" w:rsidTr="00AE1746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966ECF" w:rsidP="00006961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O</w:t>
            </w:r>
            <w:r w:rsidR="00006961">
              <w:rPr>
                <w:rFonts w:ascii="Calibri" w:eastAsia="Calibri" w:hAnsi="Calibri" w:cs="Calibri"/>
                <w:b/>
                <w:color w:val="C00000"/>
                <w:sz w:val="24"/>
              </w:rPr>
              <w:t>BIETTIVI</w:t>
            </w:r>
          </w:p>
        </w:tc>
      </w:tr>
      <w:tr w:rsidR="007D60AA" w:rsidTr="00AE1746">
        <w:trPr>
          <w:gridBefore w:val="1"/>
          <w:wBefore w:w="9" w:type="dxa"/>
          <w:trHeight w:val="592"/>
        </w:trPr>
        <w:tc>
          <w:tcPr>
            <w:tcW w:w="10873" w:type="dxa"/>
            <w:gridSpan w:val="3"/>
          </w:tcPr>
          <w:p w:rsidR="00290AD4" w:rsidRDefault="00290AD4" w:rsidP="00BE7107">
            <w:pPr>
              <w:spacing w:after="0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290AD4">
              <w:rPr>
                <w:rFonts w:ascii="Calibri" w:eastAsia="Calibri" w:hAnsi="Calibri" w:cs="Calibri"/>
                <w:sz w:val="22"/>
              </w:rPr>
              <w:t xml:space="preserve">Si intende offrire ai professionisti strumenti concreti per utilizzare al meglio i social network e potenziare al massimo la propria reputazione on </w:t>
            </w:r>
            <w:proofErr w:type="spellStart"/>
            <w:r w:rsidRPr="00290AD4">
              <w:rPr>
                <w:rFonts w:ascii="Calibri" w:eastAsia="Calibri" w:hAnsi="Calibri" w:cs="Calibri"/>
                <w:sz w:val="22"/>
              </w:rPr>
              <w:t>line</w:t>
            </w:r>
            <w:proofErr w:type="spellEnd"/>
            <w:r w:rsidRPr="00290AD4">
              <w:rPr>
                <w:rFonts w:ascii="Calibri" w:eastAsia="Calibri" w:hAnsi="Calibri" w:cs="Calibri"/>
                <w:sz w:val="22"/>
              </w:rPr>
              <w:t xml:space="preserve">. L'obiettivo è di acquisire maggiore consapevolezza del perché sia importante oggi essere presenti sui social network come professionisti e come aziende. Il corso prevede di concentrarsi sull’utilizzo di </w:t>
            </w:r>
            <w:proofErr w:type="spellStart"/>
            <w:r w:rsidRPr="00290AD4">
              <w:rPr>
                <w:rFonts w:ascii="Calibri" w:eastAsia="Calibri" w:hAnsi="Calibri" w:cs="Calibri"/>
                <w:sz w:val="22"/>
              </w:rPr>
              <w:t>LinkedIn</w:t>
            </w:r>
            <w:proofErr w:type="spellEnd"/>
            <w:r w:rsidRPr="00290AD4">
              <w:rPr>
                <w:rFonts w:ascii="Calibri" w:eastAsia="Calibri" w:hAnsi="Calibri" w:cs="Calibri"/>
                <w:sz w:val="22"/>
              </w:rPr>
              <w:t>, lo strumento principale per il network fra professionisti e di supportare i partecipanti nel processo che vede il professionista bisognoso di “rimanere al passo” con l’evoluzione dei nuovi codici di comunicazione e comportamento e la sua dimensione personale/individuale di crescita e sviluppo.</w:t>
            </w:r>
          </w:p>
          <w:p w:rsidR="00290AD4" w:rsidRDefault="00290AD4" w:rsidP="00BE7107">
            <w:pPr>
              <w:spacing w:after="0"/>
              <w:ind w:left="0" w:right="0" w:firstLine="0"/>
            </w:pPr>
          </w:p>
        </w:tc>
      </w:tr>
      <w:tr w:rsidR="007D60AA" w:rsidTr="00AE1746">
        <w:trPr>
          <w:gridBefore w:val="1"/>
          <w:wBefore w:w="9" w:type="dxa"/>
          <w:trHeight w:val="440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966ECF">
        <w:trPr>
          <w:gridBefore w:val="1"/>
          <w:wBefore w:w="9" w:type="dxa"/>
          <w:trHeight w:val="430"/>
        </w:trPr>
        <w:tc>
          <w:tcPr>
            <w:tcW w:w="10873" w:type="dxa"/>
            <w:gridSpan w:val="3"/>
          </w:tcPr>
          <w:p w:rsidR="00BE7107" w:rsidRDefault="00BE7107" w:rsidP="00BE7107">
            <w:pPr>
              <w:ind w:right="266"/>
              <w:rPr>
                <w:rFonts w:ascii="Calibri" w:eastAsia="Calibri" w:hAnsi="Calibri" w:cs="Calibri"/>
                <w:sz w:val="22"/>
              </w:rPr>
            </w:pPr>
            <w:r w:rsidRPr="00BE7107">
              <w:rPr>
                <w:rFonts w:ascii="Calibri" w:eastAsia="Calibri" w:hAnsi="Calibri" w:cs="Calibri"/>
                <w:sz w:val="22"/>
              </w:rPr>
              <w:t xml:space="preserve">Professionisti </w:t>
            </w:r>
            <w:r>
              <w:rPr>
                <w:rFonts w:ascii="Calibri" w:eastAsia="Calibri" w:hAnsi="Calibri" w:cs="Calibri"/>
                <w:sz w:val="22"/>
              </w:rPr>
              <w:t xml:space="preserve">in ambito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ordinistico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 non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ordinistico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p</w:t>
            </w:r>
            <w:r w:rsidRPr="00BE7107">
              <w:rPr>
                <w:rFonts w:ascii="Calibri" w:eastAsia="Calibri" w:hAnsi="Calibri" w:cs="Calibri"/>
                <w:sz w:val="22"/>
              </w:rPr>
              <w:t>rofessionisti iscritti ad Associazioni Legge 4/13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</w:p>
          <w:p w:rsidR="00BE7107" w:rsidRDefault="00BE7107" w:rsidP="00BE7107">
            <w:pPr>
              <w:ind w:right="266"/>
            </w:pPr>
            <w:r>
              <w:rPr>
                <w:rFonts w:ascii="Calibri" w:eastAsia="Calibri" w:hAnsi="Calibri" w:cs="Calibri"/>
                <w:sz w:val="22"/>
              </w:rPr>
              <w:t xml:space="preserve">In particolare professionisti </w:t>
            </w:r>
            <w:r w:rsidRPr="00BE7107">
              <w:rPr>
                <w:rFonts w:ascii="Calibri" w:eastAsia="Calibri" w:hAnsi="Calibri" w:cs="Calibri"/>
                <w:sz w:val="22"/>
              </w:rPr>
              <w:t xml:space="preserve">della formazione professionale e dell’orientamento, operanti presso agenzie formative, agenzie per il lavoro, centri per l’impiego, servizi di consulenza. </w:t>
            </w:r>
          </w:p>
        </w:tc>
      </w:tr>
      <w:tr w:rsidR="007D60AA" w:rsidTr="00AE1746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PROGRAMMA DEL CORSO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8340EF">
        <w:trPr>
          <w:gridBefore w:val="1"/>
          <w:wBefore w:w="9" w:type="dxa"/>
          <w:trHeight w:val="1524"/>
        </w:trPr>
        <w:tc>
          <w:tcPr>
            <w:tcW w:w="10873" w:type="dxa"/>
            <w:gridSpan w:val="3"/>
          </w:tcPr>
          <w:p w:rsidR="00BE7107" w:rsidRDefault="00BE7107" w:rsidP="00BE710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Scopi, potenzialità e limiti dei principali Social Network</w:t>
            </w:r>
          </w:p>
          <w:p w:rsidR="00BE7107" w:rsidRDefault="00BE7107" w:rsidP="00BE710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Come avere un profilo efficace su </w:t>
            </w:r>
            <w:proofErr w:type="spellStart"/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LinkedIn</w:t>
            </w:r>
            <w:proofErr w:type="spellEnd"/>
          </w:p>
          <w:p w:rsidR="00BE7107" w:rsidRDefault="00BE7107" w:rsidP="00BE710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Come monitorare le proprie performance su questo social e affinare le </w:t>
            </w:r>
            <w:proofErr w:type="spellStart"/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skills</w:t>
            </w:r>
            <w:proofErr w:type="spellEnd"/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 legate alla creazione di un post efficace (</w:t>
            </w:r>
            <w:proofErr w:type="spellStart"/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content</w:t>
            </w:r>
            <w:proofErr w:type="spellEnd"/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 xml:space="preserve"> management) </w:t>
            </w:r>
          </w:p>
          <w:p w:rsidR="007D60AA" w:rsidRDefault="00BE7107" w:rsidP="00BE7107">
            <w:pPr>
              <w:pStyle w:val="Paragrafoelenco"/>
              <w:numPr>
                <w:ilvl w:val="0"/>
                <w:numId w:val="1"/>
              </w:numPr>
            </w:pPr>
            <w:r>
              <w:rPr>
                <w:b/>
                <w:bCs/>
                <w:i/>
                <w:iCs/>
                <w:color w:val="2F5496"/>
                <w:sz w:val="24"/>
                <w:szCs w:val="24"/>
                <w:u w:color="2F5496"/>
              </w:rPr>
              <w:t>Come percorrere le strade innovative per il business fra nuovi codici di comportamento, il dovere di rimanere al passo e lo “stress” del cambiamento</w:t>
            </w:r>
          </w:p>
        </w:tc>
      </w:tr>
      <w:tr w:rsidR="007D60AA" w:rsidTr="00AE1746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DOCENTI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64"/>
        </w:trPr>
        <w:tc>
          <w:tcPr>
            <w:tcW w:w="10873" w:type="dxa"/>
            <w:gridSpan w:val="3"/>
          </w:tcPr>
          <w:p w:rsidR="007D60AA" w:rsidRDefault="00BE7107">
            <w:pPr>
              <w:spacing w:after="0"/>
              <w:ind w:left="0" w:right="0" w:firstLine="0"/>
              <w:jc w:val="left"/>
              <w:rPr>
                <w:rFonts w:asciiTheme="minorHAnsi" w:hAnsiTheme="minorHAnsi" w:cs="Calibri"/>
                <w:b/>
                <w:i/>
                <w:sz w:val="24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4"/>
              </w:rPr>
              <w:t>Bettini</w:t>
            </w:r>
            <w:proofErr w:type="spellEnd"/>
            <w:r>
              <w:rPr>
                <w:rFonts w:asciiTheme="minorHAnsi" w:hAnsiTheme="minorHAnsi" w:cs="Calibri"/>
                <w:b/>
                <w:sz w:val="24"/>
              </w:rPr>
              <w:t xml:space="preserve"> Beatrice (Associazione </w:t>
            </w:r>
            <w:proofErr w:type="spellStart"/>
            <w:r>
              <w:rPr>
                <w:rFonts w:asciiTheme="minorHAnsi" w:hAnsiTheme="minorHAnsi" w:cs="Calibri"/>
                <w:b/>
                <w:sz w:val="24"/>
              </w:rPr>
              <w:t>Evaluate</w:t>
            </w:r>
            <w:proofErr w:type="spellEnd"/>
            <w:r>
              <w:rPr>
                <w:rFonts w:asciiTheme="minorHAnsi" w:hAnsiTheme="minorHAnsi" w:cs="Calibri"/>
                <w:b/>
                <w:sz w:val="24"/>
              </w:rPr>
              <w:t>)</w:t>
            </w:r>
          </w:p>
          <w:p w:rsidR="00BE7107" w:rsidRPr="00BE7107" w:rsidRDefault="00BE7107" w:rsidP="00BE7107">
            <w:pPr>
              <w:rPr>
                <w:rFonts w:asciiTheme="minorHAnsi" w:hAnsiTheme="minorHAnsi"/>
                <w:i/>
                <w:sz w:val="22"/>
              </w:rPr>
            </w:pPr>
            <w:r w:rsidRPr="00BE7107">
              <w:rPr>
                <w:rFonts w:asciiTheme="minorHAnsi" w:hAnsiTheme="minorHAnsi"/>
                <w:i/>
                <w:sz w:val="22"/>
              </w:rPr>
              <w:t xml:space="preserve">Beatrice </w:t>
            </w:r>
            <w:proofErr w:type="spellStart"/>
            <w:r w:rsidRPr="00BE7107">
              <w:rPr>
                <w:rFonts w:asciiTheme="minorHAnsi" w:hAnsiTheme="minorHAnsi"/>
                <w:i/>
                <w:sz w:val="22"/>
              </w:rPr>
              <w:t>Bettini</w:t>
            </w:r>
            <w:proofErr w:type="spellEnd"/>
            <w:r w:rsidRPr="00BE7107">
              <w:rPr>
                <w:rFonts w:asciiTheme="minorHAnsi" w:hAnsiTheme="minorHAnsi"/>
                <w:i/>
                <w:sz w:val="22"/>
              </w:rPr>
              <w:t xml:space="preserve">: appassionata di processi di cambiamento nei sistemi umani, di innovazione e ricerca del benessere individuale e di gruppo. </w:t>
            </w:r>
          </w:p>
          <w:p w:rsidR="00BE7107" w:rsidRPr="00BE7107" w:rsidRDefault="00BE7107" w:rsidP="00BE7107">
            <w:pPr>
              <w:rPr>
                <w:rFonts w:asciiTheme="minorHAnsi" w:hAnsiTheme="minorHAnsi"/>
                <w:i/>
                <w:sz w:val="22"/>
              </w:rPr>
            </w:pPr>
            <w:r w:rsidRPr="00BE7107">
              <w:rPr>
                <w:rFonts w:asciiTheme="minorHAnsi" w:hAnsiTheme="minorHAnsi"/>
                <w:i/>
                <w:sz w:val="22"/>
              </w:rPr>
              <w:t>Co-Fondatrice e Presidente di EVALUATE dal 2015. Svolge attività libero professionale come consulente di management, formatore, coach e valutatore delle competenze.</w:t>
            </w:r>
          </w:p>
          <w:p w:rsidR="0050021D" w:rsidRDefault="00BE7107" w:rsidP="0050021D">
            <w:r w:rsidRPr="00BE7107">
              <w:rPr>
                <w:rFonts w:asciiTheme="minorHAnsi" w:hAnsiTheme="minorHAnsi"/>
                <w:i/>
                <w:sz w:val="22"/>
              </w:rPr>
              <w:t xml:space="preserve">Negli ultimi anni ha sviluppato competenze specialistiche nell’utilizzo dei social network per lo sviluppo del business dei professionisti partecipando ad attività formative promosse da noti </w:t>
            </w:r>
            <w:proofErr w:type="spellStart"/>
            <w:r w:rsidRPr="00BE7107">
              <w:rPr>
                <w:rFonts w:asciiTheme="minorHAnsi" w:hAnsiTheme="minorHAnsi"/>
                <w:i/>
                <w:sz w:val="22"/>
              </w:rPr>
              <w:t>influencer</w:t>
            </w:r>
            <w:proofErr w:type="spellEnd"/>
            <w:r w:rsidRPr="00BE7107">
              <w:rPr>
                <w:rFonts w:asciiTheme="minorHAnsi" w:hAnsiTheme="minorHAnsi"/>
                <w:i/>
                <w:sz w:val="22"/>
              </w:rPr>
              <w:t xml:space="preserve"> della rete, centri di innovazione e da scuole di formazione di management a Bologna e Milano.</w:t>
            </w:r>
          </w:p>
          <w:p w:rsidR="008340EF" w:rsidRPr="008340EF" w:rsidRDefault="008340EF">
            <w:pPr>
              <w:spacing w:after="0"/>
              <w:ind w:left="0" w:right="0" w:firstLine="0"/>
              <w:jc w:val="left"/>
              <w:rPr>
                <w:b/>
              </w:rPr>
            </w:pPr>
          </w:p>
        </w:tc>
      </w:tr>
      <w:tr w:rsidR="007D60AA" w:rsidTr="00AE1746">
        <w:trPr>
          <w:gridBefore w:val="1"/>
          <w:wBefore w:w="9" w:type="dxa"/>
          <w:trHeight w:val="451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VALUTAZIONE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9376FF">
        <w:trPr>
          <w:gridBefore w:val="1"/>
          <w:wBefore w:w="9" w:type="dxa"/>
          <w:trHeight w:val="19"/>
        </w:trPr>
        <w:tc>
          <w:tcPr>
            <w:tcW w:w="10873" w:type="dxa"/>
            <w:gridSpan w:val="3"/>
          </w:tcPr>
          <w:p w:rsidR="007D60AA" w:rsidRDefault="00271A76" w:rsidP="00271A76">
            <w:pPr>
              <w:ind w:right="266"/>
            </w:pPr>
            <w:r w:rsidRPr="00271A76">
              <w:rPr>
                <w:rFonts w:ascii="Calibri" w:eastAsia="Calibri" w:hAnsi="Calibri" w:cs="Calibri"/>
                <w:sz w:val="22"/>
              </w:rPr>
              <w:t xml:space="preserve">Le verifiche saranno svolte attraverso una esercitazione sul proprio profilo </w:t>
            </w:r>
            <w:proofErr w:type="spellStart"/>
            <w:r w:rsidRPr="00271A76">
              <w:rPr>
                <w:rFonts w:ascii="Calibri" w:eastAsia="Calibri" w:hAnsi="Calibri" w:cs="Calibri"/>
                <w:sz w:val="22"/>
              </w:rPr>
              <w:t>LinkedIn</w:t>
            </w:r>
            <w:proofErr w:type="spellEnd"/>
            <w:r w:rsidRPr="00271A76">
              <w:rPr>
                <w:rFonts w:ascii="Calibri" w:eastAsia="Calibri" w:hAnsi="Calibri" w:cs="Calibri"/>
                <w:sz w:val="22"/>
              </w:rPr>
              <w:t>. I partecipanti sono invitati a presentarsi al corso mun</w:t>
            </w:r>
            <w:r>
              <w:rPr>
                <w:rFonts w:ascii="Calibri" w:eastAsia="Calibri" w:hAnsi="Calibri" w:cs="Calibri"/>
                <w:sz w:val="22"/>
              </w:rPr>
              <w:t xml:space="preserve">iti del proprio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pc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portatile</w:t>
            </w:r>
            <w:r w:rsidRPr="00271A76"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7D60AA" w:rsidTr="00AE1746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CERTIFICAZIONE FINALE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65"/>
        </w:trPr>
        <w:tc>
          <w:tcPr>
            <w:tcW w:w="10873" w:type="dxa"/>
            <w:gridSpan w:val="3"/>
            <w:vAlign w:val="center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Attestato di frequenza, rilasciato con una frequenza pari ad almeno il 70% delle ore previste.</w:t>
            </w:r>
            <w:r>
              <w:rPr>
                <w:rFonts w:ascii="Calibri" w:eastAsia="Calibri" w:hAnsi="Calibri" w:cs="Calibri"/>
                <w:color w:val="C00000"/>
                <w:sz w:val="22"/>
              </w:rPr>
              <w:t xml:space="preserve"> </w:t>
            </w:r>
          </w:p>
        </w:tc>
      </w:tr>
      <w:tr w:rsidR="007D60AA" w:rsidTr="00AE1746">
        <w:trPr>
          <w:gridBefore w:val="1"/>
          <w:wBefore w:w="9" w:type="dxa"/>
          <w:trHeight w:val="452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COSTO E MODALITA’ DI PAGAMENTO </w:t>
            </w:r>
          </w:p>
        </w:tc>
      </w:tr>
      <w:tr w:rsidR="007D60AA" w:rsidTr="008340EF">
        <w:trPr>
          <w:gridBefore w:val="1"/>
          <w:wBefore w:w="9" w:type="dxa"/>
          <w:trHeight w:val="574"/>
        </w:trPr>
        <w:tc>
          <w:tcPr>
            <w:tcW w:w="10873" w:type="dxa"/>
            <w:gridSpan w:val="3"/>
          </w:tcPr>
          <w:p w:rsidR="000F242F" w:rsidRPr="005A7E6B" w:rsidRDefault="000F242F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r w:rsidRPr="005A7E6B">
              <w:rPr>
                <w:rFonts w:ascii="Calibri" w:eastAsia="Calibri" w:hAnsi="Calibri" w:cs="Calibri"/>
                <w:sz w:val="22"/>
              </w:rPr>
              <w:t xml:space="preserve">Il costo del </w:t>
            </w:r>
            <w:r w:rsidR="005A7E6B">
              <w:rPr>
                <w:rFonts w:ascii="Calibri" w:eastAsia="Calibri" w:hAnsi="Calibri" w:cs="Calibri"/>
                <w:sz w:val="22"/>
              </w:rPr>
              <w:t xml:space="preserve">corso è di </w:t>
            </w:r>
            <w:r w:rsidR="000F0126">
              <w:rPr>
                <w:rFonts w:ascii="Calibri" w:eastAsia="Calibri" w:hAnsi="Calibri" w:cs="Calibri"/>
                <w:sz w:val="22"/>
              </w:rPr>
              <w:t>12</w:t>
            </w:r>
            <w:r w:rsidR="009424AA">
              <w:rPr>
                <w:rFonts w:ascii="Calibri" w:eastAsia="Calibri" w:hAnsi="Calibri" w:cs="Calibri"/>
                <w:sz w:val="22"/>
              </w:rPr>
              <w:t>0,00 euro</w:t>
            </w:r>
            <w:r w:rsidRPr="005A7E6B"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50021D" w:rsidRPr="0050021D" w:rsidRDefault="008340EF" w:rsidP="0050021D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bookmarkStart w:id="0" w:name="_GoBack"/>
            <w:bookmarkEnd w:id="0"/>
            <w:r w:rsidRPr="005A7E6B">
              <w:rPr>
                <w:rFonts w:ascii="Calibri" w:eastAsia="Calibri" w:hAnsi="Calibri" w:cs="Calibri"/>
                <w:sz w:val="22"/>
              </w:rPr>
              <w:t>Modalità di pagament</w:t>
            </w:r>
            <w:r w:rsidR="005A7E6B">
              <w:rPr>
                <w:rFonts w:ascii="Calibri" w:eastAsia="Calibri" w:hAnsi="Calibri" w:cs="Calibri"/>
                <w:sz w:val="22"/>
              </w:rPr>
              <w:t>o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: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 xml:space="preserve">bonifico bancario 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su cc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intestato a: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Associazione professionale EVALUATE - Esperti di valutazione degli apprendimenti e certificazione delle competenze - Codice IBAN: IT58B0303270460010000001018</w:t>
            </w:r>
          </w:p>
          <w:p w:rsidR="007D60AA" w:rsidRDefault="0050021D" w:rsidP="0050021D">
            <w:pPr>
              <w:spacing w:after="1" w:line="238" w:lineRule="auto"/>
              <w:ind w:left="0" w:right="51" w:firstLine="0"/>
            </w:pPr>
            <w:r w:rsidRPr="0050021D">
              <w:rPr>
                <w:rFonts w:ascii="Calibri" w:eastAsia="Calibri" w:hAnsi="Calibri" w:cs="Calibri"/>
                <w:sz w:val="22"/>
              </w:rPr>
              <w:t>Causale: “</w:t>
            </w:r>
            <w:r>
              <w:rPr>
                <w:rFonts w:ascii="Calibri" w:eastAsia="Calibri" w:hAnsi="Calibri" w:cs="Calibri"/>
                <w:sz w:val="22"/>
              </w:rPr>
              <w:t xml:space="preserve">Seminario </w:t>
            </w:r>
            <w:r w:rsidRPr="0050021D">
              <w:rPr>
                <w:rFonts w:ascii="Calibri" w:eastAsia="Calibri" w:hAnsi="Calibri" w:cs="Calibri"/>
                <w:sz w:val="22"/>
              </w:rPr>
              <w:t xml:space="preserve">UF </w:t>
            </w:r>
            <w:r w:rsidR="00271A76">
              <w:rPr>
                <w:rFonts w:ascii="Calibri" w:eastAsia="Calibri" w:hAnsi="Calibri" w:cs="Calibri"/>
                <w:sz w:val="22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>”</w:t>
            </w:r>
          </w:p>
          <w:p w:rsidR="007D60AA" w:rsidRDefault="007D60AA">
            <w:pPr>
              <w:spacing w:after="0"/>
              <w:ind w:left="0" w:right="0" w:firstLine="0"/>
            </w:pPr>
          </w:p>
        </w:tc>
      </w:tr>
      <w:tr w:rsidR="007D60AA" w:rsidTr="00AE1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SEDE DI SVOLGIMENTO </w:t>
            </w:r>
          </w:p>
        </w:tc>
      </w:tr>
      <w:tr w:rsidR="007D60AA" w:rsidT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39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7D60AA" w:rsidRPr="009376FF" w:rsidRDefault="00591CD7" w:rsidP="009376FF">
            <w:pPr>
              <w:pStyle w:val="NormaleWeb"/>
              <w:shd w:val="clear" w:color="auto" w:fill="FCFCFC"/>
              <w:spacing w:line="31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definire</w:t>
            </w:r>
          </w:p>
        </w:tc>
      </w:tr>
      <w:tr w:rsidR="009376FF" w:rsidTr="00EA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9376FF" w:rsidRDefault="009376FF" w:rsidP="00EA4DBB">
            <w:pPr>
              <w:spacing w:after="0"/>
              <w:ind w:left="0" w:right="0" w:firstLine="0"/>
              <w:jc w:val="left"/>
            </w:pPr>
            <w:r w:rsidRPr="005A7E6B"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INFORMAZIONI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</w:t>
            </w:r>
          </w:p>
        </w:tc>
      </w:tr>
      <w:tr w:rsidR="009376FF" w:rsidT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623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9376FF" w:rsidRPr="005A7E6B" w:rsidRDefault="00774C6D" w:rsidP="009376FF">
            <w:pPr>
              <w:pStyle w:val="NormaleWeb"/>
              <w:shd w:val="clear" w:color="auto" w:fill="FCFCFC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9376FF" w:rsidRPr="005A7E6B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info@valutatoridellecompetenze.it</w:t>
              </w:r>
            </w:hyperlink>
            <w:r w:rsidR="009376FF" w:rsidRPr="005A7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376FF" w:rsidRDefault="009376FF" w:rsidP="009376FF">
            <w:pPr>
              <w:pStyle w:val="NormaleWeb"/>
              <w:shd w:val="clear" w:color="auto" w:fill="FCFCFC"/>
              <w:spacing w:after="0"/>
              <w:rPr>
                <w:sz w:val="20"/>
                <w:szCs w:val="20"/>
              </w:rPr>
            </w:pPr>
            <w:r w:rsidRPr="005A7E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CONTATTI: Beatrice: +39 328 4556153  Giuseppe: +39 377 6872477</w:t>
            </w:r>
          </w:p>
        </w:tc>
      </w:tr>
    </w:tbl>
    <w:p w:rsidR="007D60AA" w:rsidRDefault="000F242F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60AA" w:rsidRDefault="000F242F" w:rsidP="00EA4DBB">
      <w:pPr>
        <w:spacing w:after="10471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D60AA" w:rsidSect="00FA5181">
      <w:pgSz w:w="11906" w:h="16838"/>
      <w:pgMar w:top="709" w:right="2455" w:bottom="50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4F4"/>
    <w:multiLevelType w:val="hybridMultilevel"/>
    <w:tmpl w:val="ECE0F7BE"/>
    <w:name w:val="WW8Num1022"/>
    <w:lvl w:ilvl="0" w:tplc="2326D568">
      <w:start w:val="1"/>
      <w:numFmt w:val="decimal"/>
      <w:lvlText w:val="%1."/>
      <w:lvlJc w:val="left"/>
      <w:pPr>
        <w:tabs>
          <w:tab w:val="num" w:pos="-644"/>
        </w:tabs>
        <w:ind w:left="360" w:hanging="360"/>
      </w:pPr>
      <w:rPr>
        <w:rFonts w:ascii="Symbol" w:hAnsi="Symbol" w:cs="Symbol" w:hint="default"/>
        <w:b/>
        <w:i/>
        <w:color w:val="2F5496" w:themeColor="accent1" w:themeShade="BF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>
      <w:start w:val="1"/>
      <w:numFmt w:val="lowerRoman"/>
      <w:lvlText w:val="%3."/>
      <w:lvlJc w:val="right"/>
      <w:pPr>
        <w:ind w:left="1516" w:hanging="180"/>
      </w:pPr>
    </w:lvl>
    <w:lvl w:ilvl="3" w:tplc="0410000F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275563B"/>
    <w:multiLevelType w:val="hybridMultilevel"/>
    <w:tmpl w:val="B3FE8388"/>
    <w:lvl w:ilvl="0" w:tplc="5DDE661C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1" w:tplc="C18CAD3E">
      <w:start w:val="1"/>
      <w:numFmt w:val="lowerLetter"/>
      <w:lvlText w:val="%2."/>
      <w:lvlJc w:val="left"/>
      <w:pPr>
        <w:ind w:left="7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2" w:tplc="C374BB70">
      <w:start w:val="1"/>
      <w:numFmt w:val="lowerRoman"/>
      <w:lvlText w:val="%3."/>
      <w:lvlJc w:val="left"/>
      <w:pPr>
        <w:ind w:left="151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3" w:tplc="492C86DA">
      <w:start w:val="1"/>
      <w:numFmt w:val="decimal"/>
      <w:lvlText w:val="%4."/>
      <w:lvlJc w:val="left"/>
      <w:pPr>
        <w:ind w:left="22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4" w:tplc="D0F84B86">
      <w:start w:val="1"/>
      <w:numFmt w:val="lowerLetter"/>
      <w:lvlText w:val="%5."/>
      <w:lvlJc w:val="left"/>
      <w:pPr>
        <w:ind w:left="29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5" w:tplc="D3F038BC">
      <w:start w:val="1"/>
      <w:numFmt w:val="lowerRoman"/>
      <w:lvlText w:val="%6."/>
      <w:lvlJc w:val="left"/>
      <w:pPr>
        <w:ind w:left="367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6" w:tplc="0D4ECF76">
      <w:start w:val="1"/>
      <w:numFmt w:val="decimal"/>
      <w:lvlText w:val="%7."/>
      <w:lvlJc w:val="left"/>
      <w:pPr>
        <w:ind w:left="43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7" w:tplc="5CA48BF8">
      <w:start w:val="1"/>
      <w:numFmt w:val="lowerLetter"/>
      <w:lvlText w:val="%8."/>
      <w:lvlJc w:val="left"/>
      <w:pPr>
        <w:ind w:left="51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  <w:lvl w:ilvl="8" w:tplc="093A564A">
      <w:start w:val="1"/>
      <w:numFmt w:val="lowerRoman"/>
      <w:lvlText w:val="%9."/>
      <w:lvlJc w:val="left"/>
      <w:pPr>
        <w:ind w:left="5836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549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D60AA"/>
    <w:rsid w:val="00006961"/>
    <w:rsid w:val="000B45D1"/>
    <w:rsid w:val="000E7423"/>
    <w:rsid w:val="000F0126"/>
    <w:rsid w:val="000F242F"/>
    <w:rsid w:val="001170CB"/>
    <w:rsid w:val="001A5DA4"/>
    <w:rsid w:val="00271A76"/>
    <w:rsid w:val="00290AD4"/>
    <w:rsid w:val="002C6A5E"/>
    <w:rsid w:val="002F2038"/>
    <w:rsid w:val="004666E7"/>
    <w:rsid w:val="0050021D"/>
    <w:rsid w:val="00591CD7"/>
    <w:rsid w:val="005A7E6B"/>
    <w:rsid w:val="006668CB"/>
    <w:rsid w:val="00681B58"/>
    <w:rsid w:val="00774C6D"/>
    <w:rsid w:val="007D60AA"/>
    <w:rsid w:val="007F15C9"/>
    <w:rsid w:val="008340EF"/>
    <w:rsid w:val="009018A1"/>
    <w:rsid w:val="00911B82"/>
    <w:rsid w:val="009376FF"/>
    <w:rsid w:val="009424AA"/>
    <w:rsid w:val="00966ECF"/>
    <w:rsid w:val="00A200AC"/>
    <w:rsid w:val="00A57A98"/>
    <w:rsid w:val="00A75BAF"/>
    <w:rsid w:val="00A94245"/>
    <w:rsid w:val="00AE1746"/>
    <w:rsid w:val="00BE7107"/>
    <w:rsid w:val="00BF6D4E"/>
    <w:rsid w:val="00D6303B"/>
    <w:rsid w:val="00E17F7E"/>
    <w:rsid w:val="00E46700"/>
    <w:rsid w:val="00EA044E"/>
    <w:rsid w:val="00EA4DBB"/>
    <w:rsid w:val="00F245A8"/>
    <w:rsid w:val="00F47B7A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181"/>
    <w:pPr>
      <w:spacing w:after="3"/>
      <w:ind w:left="34" w:right="605" w:hanging="34"/>
      <w:jc w:val="both"/>
    </w:pPr>
    <w:rPr>
      <w:rFonts w:ascii="Garamond" w:eastAsia="Garamond" w:hAnsi="Garamond" w:cs="Garamond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A5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8340EF"/>
    <w:pPr>
      <w:spacing w:after="200" w:line="276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eastAsia="ar-SA"/>
    </w:rPr>
  </w:style>
  <w:style w:type="paragraph" w:styleId="NormaleWeb">
    <w:name w:val="Normal (Web)"/>
    <w:basedOn w:val="Normale"/>
    <w:uiPriority w:val="99"/>
    <w:unhideWhenUsed/>
    <w:rsid w:val="009376FF"/>
    <w:pPr>
      <w:spacing w:after="225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76F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76F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E6B"/>
    <w:rPr>
      <w:rFonts w:ascii="Tahoma" w:eastAsia="Garamond" w:hAnsi="Tahoma" w:cs="Tahoma"/>
      <w:color w:val="000000"/>
      <w:sz w:val="16"/>
      <w:szCs w:val="16"/>
    </w:rPr>
  </w:style>
  <w:style w:type="table" w:customStyle="1" w:styleId="TableNormal">
    <w:name w:val="Table Normal"/>
    <w:rsid w:val="00BE71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565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lutatoridellecompet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alutatoridellecompetenz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Vallario</cp:lastModifiedBy>
  <cp:revision>2</cp:revision>
  <cp:lastPrinted>2019-01-30T08:45:00Z</cp:lastPrinted>
  <dcterms:created xsi:type="dcterms:W3CDTF">2020-01-28T10:58:00Z</dcterms:created>
  <dcterms:modified xsi:type="dcterms:W3CDTF">2020-01-28T10:58:00Z</dcterms:modified>
</cp:coreProperties>
</file>